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110</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401639</w:t>
      </w:r>
    </w:p>
    <w:p>
      <w:pPr>
        <w:tabs>
          <w:tab w:val="left" w:pos="420"/>
          <w:tab w:val="left" w:pos="840"/>
          <w:tab w:val="left" w:pos="1260"/>
          <w:tab w:val="left" w:pos="1680"/>
          <w:tab w:val="left" w:pos="2100"/>
          <w:tab w:val="left" w:pos="2520"/>
        </w:tabs>
        <w:jc w:val="both"/>
        <w:rPr>
          <w:rFonts w:hint="eastAsia" w:ascii="Arial" w:hAnsi="Arial" w:eastAsia="宋体" w:cs="Arial"/>
          <w:b/>
          <w:sz w:val="24"/>
          <w:szCs w:val="24"/>
          <w:highlight w:val="none"/>
          <w:lang w:val="en-US" w:eastAsia="zh-CN"/>
        </w:rPr>
      </w:pPr>
      <w:r>
        <w:rPr>
          <w:rFonts w:ascii="Arial" w:hAnsi="Arial" w:eastAsia="宋体" w:cs="Arial"/>
          <w:b/>
          <w:sz w:val="24"/>
          <w:szCs w:val="24"/>
          <w:lang w:eastAsia="zh-CN"/>
        </w:rPr>
        <w:t>Athens, GR, 26 Feb – 01 Mar</w:t>
      </w:r>
      <w:r>
        <w:rPr>
          <w:rFonts w:hint="eastAsia" w:ascii="Arial" w:hAnsi="Arial" w:eastAsia="宋体" w:cs="Arial"/>
          <w:b/>
          <w:sz w:val="24"/>
          <w:szCs w:val="24"/>
          <w:highlight w:val="none"/>
          <w:lang w:val="en-US"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the performance requirements for the joint MG considerations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8.5.3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During previous meeting, the discussion on performance part was triggered. Some initial issues around the performance part of Case 1 and Case 2 were proposed and analyzed by companies, with some candidates captured into [1]. Besides, the work plan mainly focus on performance part was approved in [2].   </w:t>
      </w:r>
    </w:p>
    <w:p>
      <w:pPr>
        <w:pStyle w:val="8"/>
        <w:rPr>
          <w:rFonts w:hint="eastAsia" w:eastAsia="宋体"/>
          <w:color w:val="auto"/>
          <w:sz w:val="20"/>
          <w:szCs w:val="20"/>
          <w:lang w:val="en-US" w:eastAsia="zh-CN"/>
        </w:rPr>
      </w:pPr>
      <w:r>
        <w:rPr>
          <w:rFonts w:hint="eastAsia" w:eastAsia="宋体"/>
          <w:color w:val="auto"/>
          <w:sz w:val="20"/>
          <w:szCs w:val="20"/>
          <w:lang w:val="en-US" w:eastAsia="zh-CN"/>
        </w:rPr>
        <w:t>In this paper, we would provide our views on performance part around Case 1 and Case 2.</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bookmarkStart w:id="0" w:name="_GoBack"/>
      <w:bookmarkEnd w:id="0"/>
    </w:p>
    <w:p>
      <w:pPr>
        <w:pStyle w:val="8"/>
        <w:rPr>
          <w:rFonts w:hint="default"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Test configuration</w:t>
      </w:r>
    </w:p>
    <w:p>
      <w:pPr>
        <w:pStyle w:val="8"/>
        <w:rPr>
          <w:rFonts w:hint="eastAsia" w:eastAsia="宋体"/>
          <w:color w:val="auto"/>
          <w:sz w:val="20"/>
          <w:szCs w:val="20"/>
          <w:lang w:val="en-US" w:eastAsia="zh-CN"/>
        </w:rPr>
      </w:pPr>
      <w:r>
        <w:rPr>
          <w:rFonts w:hint="eastAsia" w:eastAsia="宋体"/>
          <w:color w:val="auto"/>
          <w:sz w:val="20"/>
          <w:szCs w:val="20"/>
          <w:lang w:val="en-US" w:eastAsia="zh-CN"/>
        </w:rPr>
        <w:t>The intention of the enhancements of pre-configured MGs, multiple concurrent MGs and NCSG is to jointly consider such multiple R17 enhanced MG types. Within the scope of this WID, not mention any preference between the SA/DC mode. Therefore, so as to reduce the test case, only define test case for SA mode is preferred by us, including both FR1 and FR2 consideration.</w:t>
      </w:r>
    </w:p>
    <w:p>
      <w:pPr>
        <w:pStyle w:val="8"/>
        <w:rPr>
          <w:rFonts w:hint="eastAsia" w:eastAsia="宋体"/>
          <w:color w:val="auto"/>
          <w:sz w:val="20"/>
          <w:szCs w:val="20"/>
          <w:lang w:val="en-US" w:eastAsia="zh-CN"/>
        </w:rPr>
      </w:pPr>
      <w:r>
        <w:rPr>
          <w:rFonts w:hint="eastAsia" w:eastAsia="宋体"/>
          <w:color w:val="auto"/>
          <w:sz w:val="20"/>
          <w:szCs w:val="20"/>
          <w:lang w:val="en-US" w:eastAsia="zh-CN"/>
        </w:rPr>
        <w:t>All types of MG involved in aim to provide more flexible and less interruption MG configuration for the MO which needs the help of MG. So regarding the MO which can be measured without MG, no need to test. As a result, no need to introduce test case for intra-frequency without gap.</w:t>
      </w:r>
    </w:p>
    <w:p>
      <w:pPr>
        <w:pStyle w:val="8"/>
        <w:rPr>
          <w:rFonts w:hint="eastAsia" w:eastAsia="宋体"/>
          <w:color w:val="auto"/>
          <w:sz w:val="20"/>
          <w:szCs w:val="20"/>
          <w:lang w:val="en-US" w:eastAsia="zh-CN"/>
        </w:rPr>
      </w:pPr>
      <w:r>
        <w:rPr>
          <w:rFonts w:hint="eastAsia" w:eastAsia="宋体"/>
          <w:color w:val="auto"/>
          <w:sz w:val="20"/>
          <w:szCs w:val="20"/>
          <w:lang w:val="en-US" w:eastAsia="zh-CN"/>
        </w:rPr>
        <w:t>To further offload the work of test, within the DRX and non-DRX, only non-DRX to be measured since the two modes are not sensitive to the MG. So only non-DRX is needed to test.</w:t>
      </w:r>
    </w:p>
    <w:p>
      <w:pPr>
        <w:pStyle w:val="8"/>
        <w:rPr>
          <w:rFonts w:hint="eastAsia" w:eastAsia="宋体"/>
          <w:color w:val="auto"/>
          <w:sz w:val="20"/>
          <w:szCs w:val="20"/>
          <w:lang w:val="en-US" w:eastAsia="zh-CN"/>
        </w:rPr>
      </w:pPr>
      <w:r>
        <w:rPr>
          <w:rFonts w:hint="eastAsia" w:eastAsia="宋体"/>
          <w:color w:val="auto"/>
          <w:sz w:val="20"/>
          <w:szCs w:val="20"/>
          <w:lang w:val="en-US" w:eastAsia="zh-CN"/>
        </w:rPr>
        <w:t>Even the per-UE gap and per-FR gap are allowed for each type of MG, to verify the joint MG configuration, it seems that we can only focus on the per-FR or per-UE MGs configuration within the test, i.e. no need to test the mixture of per-FR and per-UE MGs, since one of the main test purpose is to verify the collision handling and simultaneous activation/deactivation transitions, so configuring two per-FR1/FR2 MGs or two per-UE MGs is preferred.</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Regarding the test configurations, the following is preferred:</w:t>
      </w:r>
    </w:p>
    <w:p>
      <w:pPr>
        <w:pStyle w:val="8"/>
        <w:numPr>
          <w:ilvl w:val="0"/>
          <w:numId w:val="5"/>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Only define test case for SA mode;</w:t>
      </w:r>
    </w:p>
    <w:p>
      <w:pPr>
        <w:pStyle w:val="8"/>
        <w:numPr>
          <w:ilvl w:val="0"/>
          <w:numId w:val="5"/>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w:t>
      </w:r>
      <w:r>
        <w:rPr>
          <w:rFonts w:hint="default" w:eastAsia="宋体" w:cs="Times New Roman"/>
          <w:b/>
          <w:bCs/>
          <w:color w:val="auto"/>
          <w:sz w:val="20"/>
          <w:szCs w:val="20"/>
          <w:highlight w:val="none"/>
          <w:lang w:val="en-US" w:eastAsia="zh-CN" w:bidi="ar-SA"/>
        </w:rPr>
        <w:t>o need to introduce test case for intra-frequency without gap</w:t>
      </w:r>
      <w:r>
        <w:rPr>
          <w:rFonts w:hint="eastAsia" w:eastAsia="宋体" w:cs="Times New Roman"/>
          <w:b/>
          <w:bCs/>
          <w:color w:val="auto"/>
          <w:sz w:val="20"/>
          <w:szCs w:val="20"/>
          <w:highlight w:val="none"/>
          <w:lang w:val="en-US" w:eastAsia="zh-CN" w:bidi="ar-SA"/>
        </w:rPr>
        <w:t>;</w:t>
      </w:r>
    </w:p>
    <w:p>
      <w:pPr>
        <w:pStyle w:val="8"/>
        <w:numPr>
          <w:ilvl w:val="0"/>
          <w:numId w:val="5"/>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Only define test case of non-DRX;</w:t>
      </w:r>
    </w:p>
    <w:p>
      <w:pPr>
        <w:pStyle w:val="8"/>
        <w:numPr>
          <w:ilvl w:val="0"/>
          <w:numId w:val="5"/>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Only consider per-UE + per-UE MGs or per-FR + per-FR MGs configuration.</w:t>
      </w:r>
    </w:p>
    <w:p>
      <w:pPr>
        <w:pStyle w:val="8"/>
        <w:rPr>
          <w:rFonts w:hint="default"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Test case</w:t>
      </w:r>
      <w:r>
        <w:rPr>
          <w:rFonts w:hint="eastAsia" w:eastAsia="宋体"/>
          <w:b w:val="0"/>
          <w:bCs w:val="0"/>
          <w:color w:val="auto"/>
          <w:sz w:val="20"/>
          <w:szCs w:val="20"/>
          <w:u w:val="single"/>
          <w:lang w:val="en-US" w:eastAsia="ko-KR"/>
        </w:rPr>
        <w:t>s</w:t>
      </w:r>
      <w:r>
        <w:rPr>
          <w:rFonts w:hint="eastAsia" w:eastAsia="宋体"/>
          <w:b w:val="0"/>
          <w:bCs w:val="0"/>
          <w:color w:val="auto"/>
          <w:sz w:val="20"/>
          <w:szCs w:val="20"/>
          <w:u w:val="single"/>
          <w:lang w:val="en-US" w:eastAsia="zh-CN"/>
        </w:rPr>
        <w:t xml:space="preserve"> for Case 1</w:t>
      </w:r>
    </w:p>
    <w:p>
      <w:pPr>
        <w:pStyle w:val="8"/>
        <w:rPr>
          <w:rFonts w:hint="eastAsia" w:eastAsia="宋体"/>
          <w:color w:val="auto"/>
          <w:sz w:val="20"/>
          <w:szCs w:val="20"/>
          <w:lang w:val="en-US" w:eastAsia="zh-CN"/>
        </w:rPr>
      </w:pPr>
      <w:r>
        <w:rPr>
          <w:rFonts w:hint="eastAsia" w:eastAsia="宋体"/>
          <w:color w:val="auto"/>
          <w:sz w:val="20"/>
          <w:szCs w:val="20"/>
          <w:lang w:val="en-US" w:eastAsia="zh-CN"/>
        </w:rPr>
        <w:t>Regarding Case 1, to our understanding, the most important enhancement which needs to be verified includes:</w:t>
      </w:r>
    </w:p>
    <w:p>
      <w:pPr>
        <w:pStyle w:val="8"/>
        <w:numPr>
          <w:ilvl w:val="0"/>
          <w:numId w:val="6"/>
        </w:numPr>
        <w:rPr>
          <w:rFonts w:hint="eastAsia" w:eastAsia="宋体"/>
          <w:color w:val="auto"/>
          <w:sz w:val="20"/>
          <w:szCs w:val="20"/>
          <w:lang w:val="en-US" w:eastAsia="zh-CN"/>
        </w:rPr>
      </w:pPr>
      <w:r>
        <w:rPr>
          <w:rFonts w:hint="eastAsia" w:eastAsia="宋体"/>
          <w:color w:val="auto"/>
          <w:sz w:val="20"/>
          <w:szCs w:val="20"/>
          <w:lang w:val="en-US" w:eastAsia="zh-CN"/>
        </w:rPr>
        <w:t>Collision handling between multiple overlapping MGs</w:t>
      </w:r>
    </w:p>
    <w:p>
      <w:pPr>
        <w:pStyle w:val="8"/>
        <w:numPr>
          <w:ilvl w:val="1"/>
          <w:numId w:val="7"/>
        </w:numPr>
        <w:ind w:leftChars="100"/>
        <w:rPr>
          <w:rFonts w:hint="eastAsia" w:eastAsia="宋体"/>
          <w:color w:val="auto"/>
          <w:sz w:val="20"/>
          <w:szCs w:val="20"/>
          <w:lang w:val="en-US" w:eastAsia="zh-CN"/>
        </w:rPr>
      </w:pPr>
      <w:r>
        <w:rPr>
          <w:rFonts w:hint="eastAsia" w:eastAsia="宋体"/>
          <w:color w:val="auto"/>
          <w:sz w:val="20"/>
          <w:szCs w:val="20"/>
          <w:lang w:val="en-US" w:eastAsia="zh-CN"/>
        </w:rPr>
        <w:t>Dynamic collision handling with pre-MG involved in</w:t>
      </w:r>
    </w:p>
    <w:p>
      <w:pPr>
        <w:pStyle w:val="8"/>
        <w:numPr>
          <w:ilvl w:val="1"/>
          <w:numId w:val="7"/>
        </w:numPr>
        <w:ind w:left="200" w:leftChars="100" w:firstLine="0" w:firstLineChars="0"/>
        <w:rPr>
          <w:rFonts w:hint="eastAsia" w:eastAsia="宋体"/>
          <w:color w:val="auto"/>
          <w:sz w:val="20"/>
          <w:szCs w:val="20"/>
          <w:lang w:val="en-US" w:eastAsia="zh-CN"/>
        </w:rPr>
      </w:pPr>
      <w:r>
        <w:rPr>
          <w:rFonts w:hint="eastAsia" w:eastAsia="宋体"/>
          <w:color w:val="auto"/>
          <w:sz w:val="20"/>
          <w:szCs w:val="20"/>
          <w:lang w:val="en-US" w:eastAsia="zh-CN"/>
        </w:rPr>
        <w:t>Priority rule handling without dynamic collision</w:t>
      </w:r>
    </w:p>
    <w:p>
      <w:pPr>
        <w:pStyle w:val="8"/>
        <w:numPr>
          <w:ilvl w:val="0"/>
          <w:numId w:val="7"/>
        </w:numPr>
        <w:ind w:left="0" w:leftChars="0" w:firstLine="0" w:firstLineChars="0"/>
        <w:rPr>
          <w:rFonts w:hint="default" w:eastAsia="宋体"/>
          <w:color w:val="auto"/>
          <w:sz w:val="20"/>
          <w:szCs w:val="20"/>
          <w:lang w:val="en-US" w:eastAsia="zh-CN"/>
        </w:rPr>
      </w:pPr>
      <w:r>
        <w:rPr>
          <w:rFonts w:hint="eastAsia" w:eastAsia="宋体"/>
          <w:color w:val="auto"/>
          <w:sz w:val="20"/>
          <w:szCs w:val="20"/>
          <w:lang w:val="en-US" w:eastAsia="zh-CN"/>
        </w:rPr>
        <w:t>Multiple activation/deactivation transition procedures</w:t>
      </w:r>
    </w:p>
    <w:p>
      <w:pPr>
        <w:pStyle w:val="8"/>
        <w:numPr>
          <w:ilvl w:val="1"/>
          <w:numId w:val="7"/>
        </w:numPr>
        <w:ind w:leftChars="100"/>
        <w:rPr>
          <w:rFonts w:hint="default" w:eastAsia="宋体"/>
          <w:color w:val="auto"/>
          <w:sz w:val="20"/>
          <w:szCs w:val="20"/>
          <w:lang w:val="en-US" w:eastAsia="zh-CN"/>
        </w:rPr>
      </w:pPr>
      <w:r>
        <w:rPr>
          <w:rFonts w:hint="eastAsia" w:eastAsia="宋体"/>
          <w:color w:val="auto"/>
          <w:sz w:val="20"/>
          <w:szCs w:val="20"/>
          <w:lang w:val="en-US" w:eastAsia="zh-CN"/>
        </w:rPr>
        <w:t>Simultaneous multiple activation/deactivation transition procedures</w:t>
      </w:r>
    </w:p>
    <w:p>
      <w:pPr>
        <w:pStyle w:val="8"/>
        <w:numPr>
          <w:ilvl w:val="1"/>
          <w:numId w:val="7"/>
        </w:numPr>
        <w:ind w:leftChars="100"/>
        <w:rPr>
          <w:rFonts w:hint="default" w:eastAsia="宋体"/>
          <w:color w:val="auto"/>
          <w:sz w:val="20"/>
          <w:szCs w:val="20"/>
          <w:lang w:val="en-US" w:eastAsia="zh-CN"/>
        </w:rPr>
      </w:pPr>
      <w:r>
        <w:rPr>
          <w:rFonts w:hint="eastAsia" w:eastAsia="宋体"/>
          <w:color w:val="auto"/>
          <w:sz w:val="20"/>
          <w:szCs w:val="20"/>
          <w:lang w:val="en-US" w:eastAsia="zh-CN"/>
        </w:rPr>
        <w:t>Non-simultaneous multiple activation/deactivation transition procedures</w:t>
      </w:r>
    </w:p>
    <w:p>
      <w:pPr>
        <w:pStyle w:val="8"/>
        <w:rPr>
          <w:rFonts w:hint="default" w:eastAsia="宋体" w:cs="Times New Roman"/>
          <w:b/>
          <w:bCs/>
          <w:color w:val="auto"/>
          <w:sz w:val="20"/>
          <w:szCs w:val="20"/>
          <w:highlight w:val="none"/>
          <w:lang w:val="en-US" w:eastAsia="zh-CN" w:bidi="ar-SA"/>
        </w:rPr>
      </w:pPr>
      <w:r>
        <w:rPr>
          <w:rFonts w:hint="eastAsia" w:eastAsia="宋体"/>
          <w:color w:val="auto"/>
          <w:sz w:val="20"/>
          <w:szCs w:val="20"/>
          <w:lang w:val="en-US" w:eastAsia="zh-CN"/>
        </w:rPr>
        <w:t>So it is preferred to define test cases to verify at least all these enhancements.</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It is preferred to define test cases to verify at least all the following enhancements for Case 1:</w:t>
      </w:r>
    </w:p>
    <w:p>
      <w:pPr>
        <w:pStyle w:val="8"/>
        <w:numPr>
          <w:ilvl w:val="0"/>
          <w:numId w:val="8"/>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Collision handling between multiple overlapping MGs</w:t>
      </w:r>
    </w:p>
    <w:p>
      <w:pPr>
        <w:pStyle w:val="8"/>
        <w:numPr>
          <w:ilvl w:val="0"/>
          <w:numId w:val="9"/>
        </w:numPr>
        <w:ind w:left="84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Dynamic collision handling with pre-MG involved in</w:t>
      </w:r>
    </w:p>
    <w:p>
      <w:pPr>
        <w:pStyle w:val="8"/>
        <w:numPr>
          <w:ilvl w:val="0"/>
          <w:numId w:val="9"/>
        </w:numPr>
        <w:ind w:left="84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Priority rule handling without dynamic collision</w:t>
      </w:r>
    </w:p>
    <w:p>
      <w:pPr>
        <w:pStyle w:val="8"/>
        <w:numPr>
          <w:ilvl w:val="0"/>
          <w:numId w:val="10"/>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Multiple activation/deactivation transition procedures</w:t>
      </w:r>
    </w:p>
    <w:p>
      <w:pPr>
        <w:pStyle w:val="8"/>
        <w:numPr>
          <w:ilvl w:val="0"/>
          <w:numId w:val="9"/>
        </w:numPr>
        <w:ind w:left="84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Simultaneous multiple activation/deactivation transition procedures</w:t>
      </w:r>
    </w:p>
    <w:p>
      <w:pPr>
        <w:pStyle w:val="8"/>
        <w:numPr>
          <w:ilvl w:val="0"/>
          <w:numId w:val="9"/>
        </w:numPr>
        <w:ind w:left="840" w:leftChars="0" w:hanging="420" w:firstLineChars="0"/>
        <w:rPr>
          <w:rFonts w:hint="eastAsia"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Non-simultaneous multiple activation/deactivation transition procedures</w:t>
      </w:r>
    </w:p>
    <w:p>
      <w:pPr>
        <w:pStyle w:val="8"/>
        <w:rPr>
          <w:rFonts w:hint="default"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Test cases for Case 2</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Since the parallel measurements upon two NCSGs collision is not allowed in R18, so when design the test case for Case 2, no need to consider the parallel measurements. However the MG collision is still possible, so the priority rule should also be tested. </w:t>
      </w:r>
    </w:p>
    <w:p>
      <w:pPr>
        <w:pStyle w:val="8"/>
        <w:rPr>
          <w:rFonts w:hint="eastAsia" w:eastAsia="宋体"/>
          <w:color w:val="auto"/>
          <w:sz w:val="20"/>
          <w:szCs w:val="20"/>
          <w:lang w:val="en-US" w:eastAsia="zh-CN"/>
        </w:rPr>
      </w:pPr>
      <w:r>
        <w:rPr>
          <w:rFonts w:hint="eastAsia" w:eastAsia="宋体"/>
          <w:color w:val="auto"/>
          <w:sz w:val="20"/>
          <w:szCs w:val="20"/>
          <w:lang w:val="en-US" w:eastAsia="zh-CN"/>
        </w:rPr>
        <w:t>The combinations of NCSG + NCSG and NCSG + Type 1/2 MG should be tested to verify whether UE behaviour aligned with the requirements specified in core part.</w:t>
      </w:r>
    </w:p>
    <w:p>
      <w:pPr>
        <w:pStyle w:val="8"/>
        <w:rPr>
          <w:rFonts w:hint="default" w:eastAsia="宋体"/>
          <w:color w:val="auto"/>
          <w:sz w:val="20"/>
          <w:szCs w:val="20"/>
          <w:lang w:val="en-US" w:eastAsia="zh-CN"/>
        </w:rPr>
      </w:pPr>
      <w:r>
        <w:rPr>
          <w:rFonts w:hint="eastAsia" w:eastAsia="宋体"/>
          <w:color w:val="auto"/>
          <w:sz w:val="20"/>
          <w:szCs w:val="20"/>
          <w:lang w:val="en-US" w:eastAsia="zh-CN"/>
        </w:rPr>
        <w:t>Similarly as above, to offload the work in testing, no need to test the combination of per-UE + per-FR. For the UE capable of concurrent gaps with NCSG in an FR, design test cases of two per-FR concurrent gaps with NCSG in an FR and/or two per-UE concurrent gaps with NCSG is fine. For the UE not capable this, test per-FR(FR1) + per-FR(FR2) concurrent gaps with NCSG is enough.</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It is preferred to define test cases to verify at least all the following enhancements for Case 2:</w:t>
      </w:r>
    </w:p>
    <w:p>
      <w:pPr>
        <w:pStyle w:val="8"/>
        <w:numPr>
          <w:ilvl w:val="0"/>
          <w:numId w:val="11"/>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w:t>
      </w:r>
      <w:r>
        <w:rPr>
          <w:rFonts w:hint="default" w:eastAsia="宋体" w:cs="Times New Roman"/>
          <w:b/>
          <w:bCs/>
          <w:color w:val="auto"/>
          <w:sz w:val="20"/>
          <w:szCs w:val="20"/>
          <w:highlight w:val="none"/>
          <w:lang w:val="en-US" w:eastAsia="zh-CN" w:bidi="ar-SA"/>
        </w:rPr>
        <w:t>o need to consider the parallel measurements</w:t>
      </w:r>
    </w:p>
    <w:p>
      <w:pPr>
        <w:pStyle w:val="8"/>
        <w:numPr>
          <w:ilvl w:val="0"/>
          <w:numId w:val="11"/>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Need to test the priority rule with NCSG configured</w:t>
      </w:r>
    </w:p>
    <w:p>
      <w:pPr>
        <w:pStyle w:val="8"/>
        <w:numPr>
          <w:ilvl w:val="0"/>
          <w:numId w:val="11"/>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combinations of NCSG+NCSG and NCSG+Type 1/2 MG should be covered in the test cases</w:t>
      </w:r>
    </w:p>
    <w:p>
      <w:pPr>
        <w:pStyle w:val="8"/>
        <w:numPr>
          <w:ilvl w:val="0"/>
          <w:numId w:val="11"/>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No need to test the combination of per-UE+per-FR case.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around the performance part of Case 1 and Case 2</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Regarding the test configurations, the following is preferred:</w:t>
      </w:r>
    </w:p>
    <w:p>
      <w:pPr>
        <w:pStyle w:val="8"/>
        <w:numPr>
          <w:ilvl w:val="0"/>
          <w:numId w:val="5"/>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Only define test case for SA mode;</w:t>
      </w:r>
    </w:p>
    <w:p>
      <w:pPr>
        <w:pStyle w:val="8"/>
        <w:numPr>
          <w:ilvl w:val="0"/>
          <w:numId w:val="5"/>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w:t>
      </w:r>
      <w:r>
        <w:rPr>
          <w:rFonts w:hint="default" w:eastAsia="宋体" w:cs="Times New Roman"/>
          <w:b/>
          <w:bCs/>
          <w:color w:val="auto"/>
          <w:sz w:val="20"/>
          <w:szCs w:val="20"/>
          <w:highlight w:val="none"/>
          <w:lang w:val="en-US" w:eastAsia="zh-CN" w:bidi="ar-SA"/>
        </w:rPr>
        <w:t>o need to introduce test case for intra-frequency without gap</w:t>
      </w:r>
      <w:r>
        <w:rPr>
          <w:rFonts w:hint="eastAsia" w:eastAsia="宋体" w:cs="Times New Roman"/>
          <w:b/>
          <w:bCs/>
          <w:color w:val="auto"/>
          <w:sz w:val="20"/>
          <w:szCs w:val="20"/>
          <w:highlight w:val="none"/>
          <w:lang w:val="en-US" w:eastAsia="zh-CN" w:bidi="ar-SA"/>
        </w:rPr>
        <w:t>;</w:t>
      </w:r>
    </w:p>
    <w:p>
      <w:pPr>
        <w:pStyle w:val="8"/>
        <w:numPr>
          <w:ilvl w:val="0"/>
          <w:numId w:val="5"/>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Only define test case of non-DRX;</w:t>
      </w:r>
    </w:p>
    <w:p>
      <w:pPr>
        <w:pStyle w:val="8"/>
        <w:numPr>
          <w:ilvl w:val="0"/>
          <w:numId w:val="5"/>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Only consider per-UE + per-UE MGs or per-FR + per-FR MGs configuration.</w:t>
      </w:r>
    </w:p>
    <w:p>
      <w:pPr>
        <w:pStyle w:val="8"/>
        <w:tabs>
          <w:tab w:val="left" w:pos="226"/>
          <w:tab w:val="left" w:pos="284"/>
          <w:tab w:val="left" w:pos="5103"/>
        </w:tabs>
        <w:snapToGrid w:val="0"/>
        <w:rPr>
          <w:rFonts w:eastAsia="宋体"/>
          <w:bCs/>
          <w:color w:val="auto"/>
          <w:sz w:val="20"/>
          <w:szCs w:val="20"/>
          <w:lang w:val="en-GB" w:eastAsia="zh-CN"/>
        </w:rPr>
      </w:pP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It is preferred to define test cases to verify at least all the following enhancements for Case 1:</w:t>
      </w:r>
    </w:p>
    <w:p>
      <w:pPr>
        <w:pStyle w:val="8"/>
        <w:numPr>
          <w:ilvl w:val="0"/>
          <w:numId w:val="8"/>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Collision handling between multiple overlapping MGs</w:t>
      </w:r>
    </w:p>
    <w:p>
      <w:pPr>
        <w:pStyle w:val="8"/>
        <w:numPr>
          <w:ilvl w:val="0"/>
          <w:numId w:val="9"/>
        </w:numPr>
        <w:ind w:left="84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Dynamic collision handling with pre-MG involved in</w:t>
      </w:r>
    </w:p>
    <w:p>
      <w:pPr>
        <w:pStyle w:val="8"/>
        <w:numPr>
          <w:ilvl w:val="0"/>
          <w:numId w:val="9"/>
        </w:numPr>
        <w:ind w:left="84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Priority rule handling without dynamic collision</w:t>
      </w:r>
    </w:p>
    <w:p>
      <w:pPr>
        <w:pStyle w:val="8"/>
        <w:numPr>
          <w:ilvl w:val="0"/>
          <w:numId w:val="10"/>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Multiple activation/deactivation transition procedures</w:t>
      </w:r>
    </w:p>
    <w:p>
      <w:pPr>
        <w:pStyle w:val="8"/>
        <w:numPr>
          <w:ilvl w:val="0"/>
          <w:numId w:val="9"/>
        </w:numPr>
        <w:ind w:left="84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Simultaneous multiple activation/deactivation transition procedures</w:t>
      </w:r>
    </w:p>
    <w:p>
      <w:pPr>
        <w:pStyle w:val="8"/>
        <w:numPr>
          <w:ilvl w:val="0"/>
          <w:numId w:val="9"/>
        </w:numPr>
        <w:ind w:left="840" w:leftChars="0" w:hanging="420" w:firstLineChars="0"/>
        <w:rPr>
          <w:rFonts w:hint="eastAsia"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Non-simultaneous multiple activation/deactivation transition procedures</w:t>
      </w:r>
    </w:p>
    <w:p>
      <w:pPr>
        <w:pStyle w:val="8"/>
        <w:numPr>
          <w:ilvl w:val="0"/>
          <w:numId w:val="0"/>
        </w:numPr>
        <w:ind w:left="420" w:leftChars="0"/>
        <w:rPr>
          <w:rFonts w:hint="eastAsia" w:eastAsia="宋体" w:cs="Times New Roman"/>
          <w:b/>
          <w:bCs/>
          <w:color w:val="auto"/>
          <w:sz w:val="20"/>
          <w:szCs w:val="20"/>
          <w:highlight w:val="none"/>
          <w:lang w:val="en-US" w:eastAsia="zh-CN" w:bidi="ar-SA"/>
        </w:rPr>
      </w:pP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It is preferred to define test cases to verify at least all the following enhancements for Case 2:</w:t>
      </w:r>
    </w:p>
    <w:p>
      <w:pPr>
        <w:pStyle w:val="8"/>
        <w:numPr>
          <w:ilvl w:val="0"/>
          <w:numId w:val="11"/>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w:t>
      </w:r>
      <w:r>
        <w:rPr>
          <w:rFonts w:hint="default" w:eastAsia="宋体" w:cs="Times New Roman"/>
          <w:b/>
          <w:bCs/>
          <w:color w:val="auto"/>
          <w:sz w:val="20"/>
          <w:szCs w:val="20"/>
          <w:highlight w:val="none"/>
          <w:lang w:val="en-US" w:eastAsia="zh-CN" w:bidi="ar-SA"/>
        </w:rPr>
        <w:t>o need to consider the parallel measurements</w:t>
      </w:r>
    </w:p>
    <w:p>
      <w:pPr>
        <w:pStyle w:val="8"/>
        <w:numPr>
          <w:ilvl w:val="0"/>
          <w:numId w:val="11"/>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Need to test the priority rule with NCSG configured</w:t>
      </w:r>
    </w:p>
    <w:p>
      <w:pPr>
        <w:pStyle w:val="8"/>
        <w:numPr>
          <w:ilvl w:val="0"/>
          <w:numId w:val="11"/>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combinations of NCSG+NCSG and NCSG+Type 1/2 MG should be covered in the test cases</w:t>
      </w:r>
    </w:p>
    <w:p>
      <w:pPr>
        <w:pStyle w:val="8"/>
        <w:numPr>
          <w:ilvl w:val="0"/>
          <w:numId w:val="11"/>
        </w:numPr>
        <w:ind w:left="420" w:leftChars="0" w:hanging="420" w:firstLineChars="0"/>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 xml:space="preserve">No need to test the combination of per-UE+per-FR case.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2"/>
        </w:numPr>
        <w:ind w:left="0" w:leftChars="0" w:firstLine="0" w:firstLineChars="0"/>
        <w:rPr>
          <w:rFonts w:hint="eastAsia"/>
          <w:color w:val="auto"/>
          <w:highlight w:val="none"/>
          <w:lang w:val="en-US" w:eastAsia="zh-CN"/>
        </w:rPr>
      </w:pPr>
      <w:r>
        <w:rPr>
          <w:rFonts w:hint="eastAsia"/>
          <w:color w:val="auto"/>
          <w:highlight w:val="none"/>
          <w:lang w:val="en-US" w:eastAsia="zh-CN"/>
        </w:rPr>
        <w:t xml:space="preserve">R4-2317305 </w:t>
      </w:r>
      <w:r>
        <w:rPr>
          <w:rFonts w:hint="default"/>
          <w:color w:val="auto"/>
          <w:highlight w:val="none"/>
          <w:lang w:val="en-US" w:eastAsia="zh-CN"/>
        </w:rPr>
        <w:t>“</w:t>
      </w:r>
      <w:r>
        <w:rPr>
          <w:rFonts w:hint="eastAsia"/>
          <w:color w:val="auto"/>
          <w:highlight w:val="none"/>
          <w:lang w:val="en-US" w:eastAsia="zh-CN"/>
        </w:rPr>
        <w:t>WF on NR_MG_enh2_part1</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12"/>
        </w:numPr>
        <w:ind w:left="0" w:leftChars="0" w:firstLine="0" w:firstLineChars="0"/>
        <w:rPr>
          <w:rFonts w:hint="eastAsia"/>
          <w:color w:val="auto"/>
          <w:highlight w:val="none"/>
          <w:lang w:val="en-US" w:eastAsia="zh-CN"/>
        </w:rPr>
      </w:pPr>
      <w:r>
        <w:rPr>
          <w:rFonts w:hint="eastAsia"/>
          <w:color w:val="auto"/>
          <w:highlight w:val="none"/>
          <w:lang w:val="en-US" w:eastAsia="zh-CN"/>
        </w:rPr>
        <w:t xml:space="preserve">R4-2316243 </w:t>
      </w:r>
      <w:r>
        <w:rPr>
          <w:rFonts w:hint="default"/>
          <w:color w:val="auto"/>
          <w:highlight w:val="none"/>
          <w:lang w:val="en-US" w:eastAsia="zh-CN"/>
        </w:rPr>
        <w:t>“Updated work plan for Further Enhancements on NR and MR-DC Measurement Gaps and Measurements without Gaps for RRM”</w:t>
      </w:r>
      <w:r>
        <w:rPr>
          <w:rFonts w:hint="eastAsia"/>
          <w:color w:val="auto"/>
          <w:highlight w:val="none"/>
          <w:lang w:val="en-US" w:eastAsia="zh-CN"/>
        </w:rPr>
        <w:t>, MediaTek Inc, Intel Corporation</w:t>
      </w:r>
    </w:p>
    <w:p>
      <w:pPr>
        <w:pStyle w:val="9"/>
        <w:numPr>
          <w:ilvl w:val="0"/>
          <w:numId w:val="0"/>
        </w:numPr>
        <w:ind w:leftChars="0"/>
        <w:rPr>
          <w:rFonts w:hint="default"/>
          <w:color w:val="auto"/>
          <w:highlight w:val="none"/>
          <w:lang w:val="en-US" w:eastAsia="zh-CN"/>
        </w:rPr>
      </w:pP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09300"/>
    <w:multiLevelType w:val="singleLevel"/>
    <w:tmpl w:val="9D709300"/>
    <w:lvl w:ilvl="0" w:tentative="0">
      <w:start w:val="1"/>
      <w:numFmt w:val="bullet"/>
      <w:lvlText w:val=""/>
      <w:lvlJc w:val="left"/>
      <w:pPr>
        <w:ind w:left="420" w:hanging="420"/>
      </w:pPr>
      <w:rPr>
        <w:rFonts w:hint="default" w:ascii="Wingdings" w:hAnsi="Wingdings"/>
      </w:rPr>
    </w:lvl>
  </w:abstractNum>
  <w:abstractNum w:abstractNumId="1">
    <w:nsid w:val="A9A63D44"/>
    <w:multiLevelType w:val="singleLevel"/>
    <w:tmpl w:val="A9A63D44"/>
    <w:lvl w:ilvl="0" w:tentative="0">
      <w:start w:val="1"/>
      <w:numFmt w:val="bullet"/>
      <w:lvlText w:val=""/>
      <w:lvlJc w:val="left"/>
      <w:pPr>
        <w:ind w:left="420" w:hanging="420"/>
      </w:pPr>
      <w:rPr>
        <w:rFonts w:hint="default" w:ascii="Wingdings" w:hAnsi="Wingdings"/>
      </w:rPr>
    </w:lvl>
  </w:abstractNum>
  <w:abstractNum w:abstractNumId="2">
    <w:nsid w:val="DE2BE4F3"/>
    <w:multiLevelType w:val="singleLevel"/>
    <w:tmpl w:val="DE2BE4F3"/>
    <w:lvl w:ilvl="0" w:tentative="0">
      <w:start w:val="1"/>
      <w:numFmt w:val="bullet"/>
      <w:lvlText w:val=""/>
      <w:lvlJc w:val="left"/>
      <w:pPr>
        <w:ind w:left="420" w:hanging="420"/>
      </w:pPr>
      <w:rPr>
        <w:rFonts w:hint="default" w:ascii="Wingdings" w:hAnsi="Wingdings"/>
      </w:rPr>
    </w:lvl>
  </w:abstractNum>
  <w:abstractNum w:abstractNumId="3">
    <w:nsid w:val="FA0CC6E5"/>
    <w:multiLevelType w:val="multilevel"/>
    <w:tmpl w:val="FA0CC6E5"/>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4">
    <w:nsid w:val="10ACD102"/>
    <w:multiLevelType w:val="singleLevel"/>
    <w:tmpl w:val="10ACD102"/>
    <w:lvl w:ilvl="0" w:tentative="0">
      <w:start w:val="1"/>
      <w:numFmt w:val="bullet"/>
      <w:lvlText w:val=""/>
      <w:lvlJc w:val="left"/>
      <w:pPr>
        <w:ind w:left="420" w:hanging="420"/>
      </w:pPr>
      <w:rPr>
        <w:rFonts w:hint="default" w:ascii="Wingdings" w:hAnsi="Wingdings"/>
      </w:rPr>
    </w:lvl>
  </w:abstractNum>
  <w:abstractNum w:abstractNumId="5">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BC56E21"/>
    <w:multiLevelType w:val="singleLevel"/>
    <w:tmpl w:val="2BC56E21"/>
    <w:lvl w:ilvl="0" w:tentative="0">
      <w:start w:val="1"/>
      <w:numFmt w:val="decimal"/>
      <w:suff w:val="space"/>
      <w:lvlText w:val="[%1]"/>
      <w:lvlJc w:val="left"/>
    </w:lvl>
  </w:abstractNum>
  <w:abstractNum w:abstractNumId="7">
    <w:nsid w:val="383A0BF4"/>
    <w:multiLevelType w:val="singleLevel"/>
    <w:tmpl w:val="383A0BF4"/>
    <w:lvl w:ilvl="0" w:tentative="0">
      <w:start w:val="1"/>
      <w:numFmt w:val="bullet"/>
      <w:lvlText w:val=""/>
      <w:lvlJc w:val="left"/>
      <w:pPr>
        <w:tabs>
          <w:tab w:val="left" w:pos="420"/>
        </w:tabs>
        <w:ind w:left="840" w:hanging="420"/>
      </w:pPr>
      <w:rPr>
        <w:rFonts w:hint="default" w:ascii="Wingdings" w:hAnsi="Wingdings"/>
      </w:rPr>
    </w:lvl>
  </w:abstractNum>
  <w:abstractNum w:abstractNumId="8">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9"/>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0">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EDCE423"/>
    <w:multiLevelType w:val="singleLevel"/>
    <w:tmpl w:val="7EDCE423"/>
    <w:lvl w:ilvl="0" w:tentative="0">
      <w:start w:val="1"/>
      <w:numFmt w:val="decimal"/>
      <w:suff w:val="space"/>
      <w:lvlText w:val="%1)"/>
      <w:lvlJc w:val="left"/>
    </w:lvl>
  </w:abstractNum>
  <w:num w:numId="1">
    <w:abstractNumId w:val="10"/>
  </w:num>
  <w:num w:numId="2">
    <w:abstractNumId w:val="8"/>
  </w:num>
  <w:num w:numId="3">
    <w:abstractNumId w:val="9"/>
  </w:num>
  <w:num w:numId="4">
    <w:abstractNumId w:val="5"/>
  </w:num>
  <w:num w:numId="5">
    <w:abstractNumId w:val="0"/>
  </w:num>
  <w:num w:numId="6">
    <w:abstractNumId w:val="11"/>
  </w:num>
  <w:num w:numId="7">
    <w:abstractNumId w:val="3"/>
  </w:num>
  <w:num w:numId="8">
    <w:abstractNumId w:val="2"/>
  </w:num>
  <w:num w:numId="9">
    <w:abstractNumId w:val="7"/>
  </w:num>
  <w:num w:numId="10">
    <w:abstractNumId w:val="4"/>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2DA4"/>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1705BB"/>
    <w:rsid w:val="035D7EFD"/>
    <w:rsid w:val="037D0CB3"/>
    <w:rsid w:val="03D44ED3"/>
    <w:rsid w:val="03D4720A"/>
    <w:rsid w:val="03E31229"/>
    <w:rsid w:val="04654053"/>
    <w:rsid w:val="04793516"/>
    <w:rsid w:val="047A00DD"/>
    <w:rsid w:val="047A3CFF"/>
    <w:rsid w:val="04885243"/>
    <w:rsid w:val="050C6500"/>
    <w:rsid w:val="05317828"/>
    <w:rsid w:val="0537799F"/>
    <w:rsid w:val="05477E90"/>
    <w:rsid w:val="0563116C"/>
    <w:rsid w:val="056649FC"/>
    <w:rsid w:val="057E2598"/>
    <w:rsid w:val="05BB5AB9"/>
    <w:rsid w:val="05C42923"/>
    <w:rsid w:val="05F231A6"/>
    <w:rsid w:val="05F562DB"/>
    <w:rsid w:val="06963BA6"/>
    <w:rsid w:val="06965F3C"/>
    <w:rsid w:val="07767A70"/>
    <w:rsid w:val="07CD3CDD"/>
    <w:rsid w:val="07F65E3F"/>
    <w:rsid w:val="0855671D"/>
    <w:rsid w:val="089009EB"/>
    <w:rsid w:val="09716BCA"/>
    <w:rsid w:val="09CD2668"/>
    <w:rsid w:val="09CE288D"/>
    <w:rsid w:val="09D64B23"/>
    <w:rsid w:val="09E644B8"/>
    <w:rsid w:val="0AC905E4"/>
    <w:rsid w:val="0AF01D00"/>
    <w:rsid w:val="0B12013A"/>
    <w:rsid w:val="0B1C5C6A"/>
    <w:rsid w:val="0B243EFB"/>
    <w:rsid w:val="0B3D3C2F"/>
    <w:rsid w:val="0B932DAE"/>
    <w:rsid w:val="0BB0429A"/>
    <w:rsid w:val="0BFF5FC6"/>
    <w:rsid w:val="0C276675"/>
    <w:rsid w:val="0C394019"/>
    <w:rsid w:val="0CA1601E"/>
    <w:rsid w:val="0CD5437F"/>
    <w:rsid w:val="0F032465"/>
    <w:rsid w:val="0F183290"/>
    <w:rsid w:val="0F3D019A"/>
    <w:rsid w:val="0F6F5BCD"/>
    <w:rsid w:val="0FC34095"/>
    <w:rsid w:val="10997F43"/>
    <w:rsid w:val="10DE7BAE"/>
    <w:rsid w:val="110404BB"/>
    <w:rsid w:val="120774A3"/>
    <w:rsid w:val="12580C13"/>
    <w:rsid w:val="14006D19"/>
    <w:rsid w:val="1481754F"/>
    <w:rsid w:val="148F5721"/>
    <w:rsid w:val="14AC57CD"/>
    <w:rsid w:val="14DD242D"/>
    <w:rsid w:val="15ED3E9B"/>
    <w:rsid w:val="164514BE"/>
    <w:rsid w:val="170F06AA"/>
    <w:rsid w:val="17225508"/>
    <w:rsid w:val="180A6E32"/>
    <w:rsid w:val="183F2CD2"/>
    <w:rsid w:val="1856323E"/>
    <w:rsid w:val="187C52B1"/>
    <w:rsid w:val="18AF55E3"/>
    <w:rsid w:val="18B1519A"/>
    <w:rsid w:val="18CD0507"/>
    <w:rsid w:val="195D7D48"/>
    <w:rsid w:val="1AC93209"/>
    <w:rsid w:val="1AD01A1B"/>
    <w:rsid w:val="1B61065A"/>
    <w:rsid w:val="1BB65318"/>
    <w:rsid w:val="1BBF3927"/>
    <w:rsid w:val="1C177B08"/>
    <w:rsid w:val="1C9001C6"/>
    <w:rsid w:val="1CBA2101"/>
    <w:rsid w:val="1D0573D7"/>
    <w:rsid w:val="1D153DC4"/>
    <w:rsid w:val="1D223E0B"/>
    <w:rsid w:val="1E132F88"/>
    <w:rsid w:val="1E2867E9"/>
    <w:rsid w:val="1E783C1F"/>
    <w:rsid w:val="1E853F6F"/>
    <w:rsid w:val="1E9C7BCC"/>
    <w:rsid w:val="1ECC1E3C"/>
    <w:rsid w:val="1FC809A3"/>
    <w:rsid w:val="1FFD4083"/>
    <w:rsid w:val="20AD0ADA"/>
    <w:rsid w:val="20B47552"/>
    <w:rsid w:val="20F20607"/>
    <w:rsid w:val="21014C39"/>
    <w:rsid w:val="21045DF0"/>
    <w:rsid w:val="21244EB1"/>
    <w:rsid w:val="213964D8"/>
    <w:rsid w:val="21595D04"/>
    <w:rsid w:val="21F13629"/>
    <w:rsid w:val="22020321"/>
    <w:rsid w:val="22342FBD"/>
    <w:rsid w:val="22EF77EF"/>
    <w:rsid w:val="22F86F50"/>
    <w:rsid w:val="2305377E"/>
    <w:rsid w:val="23196C2D"/>
    <w:rsid w:val="23B16765"/>
    <w:rsid w:val="24122135"/>
    <w:rsid w:val="244459A2"/>
    <w:rsid w:val="24872CD9"/>
    <w:rsid w:val="24D4257E"/>
    <w:rsid w:val="24D4598D"/>
    <w:rsid w:val="2572202B"/>
    <w:rsid w:val="2605683C"/>
    <w:rsid w:val="26377CB5"/>
    <w:rsid w:val="26776C39"/>
    <w:rsid w:val="26BB1419"/>
    <w:rsid w:val="27B748AA"/>
    <w:rsid w:val="27CB4CB9"/>
    <w:rsid w:val="281C2F58"/>
    <w:rsid w:val="293B52F7"/>
    <w:rsid w:val="29642C4B"/>
    <w:rsid w:val="2A34628C"/>
    <w:rsid w:val="2A724D05"/>
    <w:rsid w:val="2A7E505C"/>
    <w:rsid w:val="2AC85686"/>
    <w:rsid w:val="2AD04B5F"/>
    <w:rsid w:val="2B151188"/>
    <w:rsid w:val="2B272BDA"/>
    <w:rsid w:val="2B39549B"/>
    <w:rsid w:val="2BC05B2C"/>
    <w:rsid w:val="2BD617C5"/>
    <w:rsid w:val="2C112837"/>
    <w:rsid w:val="2CB53868"/>
    <w:rsid w:val="2D2D0C01"/>
    <w:rsid w:val="2E014790"/>
    <w:rsid w:val="2E6234DF"/>
    <w:rsid w:val="2EE77680"/>
    <w:rsid w:val="2F2F0FC8"/>
    <w:rsid w:val="301C6BB6"/>
    <w:rsid w:val="30683AA5"/>
    <w:rsid w:val="30723652"/>
    <w:rsid w:val="30BD4307"/>
    <w:rsid w:val="319708F2"/>
    <w:rsid w:val="31B14C9E"/>
    <w:rsid w:val="32997C1E"/>
    <w:rsid w:val="334E4103"/>
    <w:rsid w:val="33AD2366"/>
    <w:rsid w:val="33C522D7"/>
    <w:rsid w:val="340A46FA"/>
    <w:rsid w:val="34807672"/>
    <w:rsid w:val="349C7C47"/>
    <w:rsid w:val="35B06C6A"/>
    <w:rsid w:val="36336C27"/>
    <w:rsid w:val="3683619C"/>
    <w:rsid w:val="36941AA2"/>
    <w:rsid w:val="36D37423"/>
    <w:rsid w:val="376308B0"/>
    <w:rsid w:val="379D23F9"/>
    <w:rsid w:val="391E38BF"/>
    <w:rsid w:val="3A185287"/>
    <w:rsid w:val="3A1F46B8"/>
    <w:rsid w:val="3A61463C"/>
    <w:rsid w:val="3A692CD0"/>
    <w:rsid w:val="3B0D539C"/>
    <w:rsid w:val="3B270929"/>
    <w:rsid w:val="3B3D5571"/>
    <w:rsid w:val="3B673620"/>
    <w:rsid w:val="3B9A1F29"/>
    <w:rsid w:val="3C1648D7"/>
    <w:rsid w:val="3CE4646B"/>
    <w:rsid w:val="3D5E7AA8"/>
    <w:rsid w:val="3D6F2596"/>
    <w:rsid w:val="3DEF7264"/>
    <w:rsid w:val="3E034DB7"/>
    <w:rsid w:val="3E791E33"/>
    <w:rsid w:val="3F98373C"/>
    <w:rsid w:val="40441BC5"/>
    <w:rsid w:val="405A254B"/>
    <w:rsid w:val="405F175E"/>
    <w:rsid w:val="40C765F3"/>
    <w:rsid w:val="41102B04"/>
    <w:rsid w:val="413B767D"/>
    <w:rsid w:val="42F869D2"/>
    <w:rsid w:val="43553536"/>
    <w:rsid w:val="44556C28"/>
    <w:rsid w:val="44972678"/>
    <w:rsid w:val="451632B9"/>
    <w:rsid w:val="458D1C2C"/>
    <w:rsid w:val="45906394"/>
    <w:rsid w:val="45F60A50"/>
    <w:rsid w:val="460F047E"/>
    <w:rsid w:val="46142D0C"/>
    <w:rsid w:val="46970A81"/>
    <w:rsid w:val="46B036BF"/>
    <w:rsid w:val="47282363"/>
    <w:rsid w:val="47614539"/>
    <w:rsid w:val="47DB160F"/>
    <w:rsid w:val="47F6161F"/>
    <w:rsid w:val="488A0591"/>
    <w:rsid w:val="48BA7225"/>
    <w:rsid w:val="48F16278"/>
    <w:rsid w:val="49DC4EAC"/>
    <w:rsid w:val="49E55BC5"/>
    <w:rsid w:val="4A1C3C8A"/>
    <w:rsid w:val="4AC72883"/>
    <w:rsid w:val="4AD313A5"/>
    <w:rsid w:val="4B1C4E5F"/>
    <w:rsid w:val="4B2553F2"/>
    <w:rsid w:val="4BBA4D65"/>
    <w:rsid w:val="4BD325D0"/>
    <w:rsid w:val="4BEC288F"/>
    <w:rsid w:val="4C126F59"/>
    <w:rsid w:val="4C1C63D6"/>
    <w:rsid w:val="4C864A35"/>
    <w:rsid w:val="4D911504"/>
    <w:rsid w:val="4E015C76"/>
    <w:rsid w:val="4E264D53"/>
    <w:rsid w:val="4E310026"/>
    <w:rsid w:val="4E4A2325"/>
    <w:rsid w:val="4E7A6009"/>
    <w:rsid w:val="4F036129"/>
    <w:rsid w:val="4F062C79"/>
    <w:rsid w:val="4FAA1EBE"/>
    <w:rsid w:val="501A6C55"/>
    <w:rsid w:val="50CE1D68"/>
    <w:rsid w:val="51234069"/>
    <w:rsid w:val="51B14BED"/>
    <w:rsid w:val="51BD50E9"/>
    <w:rsid w:val="52526454"/>
    <w:rsid w:val="525C1CEF"/>
    <w:rsid w:val="528B5767"/>
    <w:rsid w:val="52A73FA4"/>
    <w:rsid w:val="52A77D4F"/>
    <w:rsid w:val="52D33625"/>
    <w:rsid w:val="53A3105E"/>
    <w:rsid w:val="53C64B93"/>
    <w:rsid w:val="548A6C60"/>
    <w:rsid w:val="54E07F19"/>
    <w:rsid w:val="55B1164D"/>
    <w:rsid w:val="55B4735E"/>
    <w:rsid w:val="55BB221D"/>
    <w:rsid w:val="56371459"/>
    <w:rsid w:val="56484633"/>
    <w:rsid w:val="56E60CA4"/>
    <w:rsid w:val="57732FD0"/>
    <w:rsid w:val="57B304DF"/>
    <w:rsid w:val="58B00917"/>
    <w:rsid w:val="58D0053D"/>
    <w:rsid w:val="598C40A0"/>
    <w:rsid w:val="59C41121"/>
    <w:rsid w:val="59DA647E"/>
    <w:rsid w:val="5A556E1A"/>
    <w:rsid w:val="5B967AD9"/>
    <w:rsid w:val="5BE433F2"/>
    <w:rsid w:val="5C1166E3"/>
    <w:rsid w:val="5E0752E4"/>
    <w:rsid w:val="5E2864D0"/>
    <w:rsid w:val="5E494511"/>
    <w:rsid w:val="5E977690"/>
    <w:rsid w:val="5EB44FC0"/>
    <w:rsid w:val="5EB81F13"/>
    <w:rsid w:val="5F1E1150"/>
    <w:rsid w:val="5F3C085D"/>
    <w:rsid w:val="5F6F5316"/>
    <w:rsid w:val="5FBA395F"/>
    <w:rsid w:val="60EC2CBA"/>
    <w:rsid w:val="61AC60C5"/>
    <w:rsid w:val="61CC2D28"/>
    <w:rsid w:val="62584238"/>
    <w:rsid w:val="6263511A"/>
    <w:rsid w:val="630C63B9"/>
    <w:rsid w:val="633D5B9B"/>
    <w:rsid w:val="635902CD"/>
    <w:rsid w:val="6363263D"/>
    <w:rsid w:val="63CA3532"/>
    <w:rsid w:val="64706BBE"/>
    <w:rsid w:val="64F2095B"/>
    <w:rsid w:val="65D63F94"/>
    <w:rsid w:val="65DD01B2"/>
    <w:rsid w:val="67702482"/>
    <w:rsid w:val="67921C1E"/>
    <w:rsid w:val="67A858DB"/>
    <w:rsid w:val="67FE4166"/>
    <w:rsid w:val="68AD2162"/>
    <w:rsid w:val="68C401C3"/>
    <w:rsid w:val="693027BF"/>
    <w:rsid w:val="6968769B"/>
    <w:rsid w:val="69A833BD"/>
    <w:rsid w:val="6A7C4345"/>
    <w:rsid w:val="6CBE44A8"/>
    <w:rsid w:val="6D566F0F"/>
    <w:rsid w:val="6D836F72"/>
    <w:rsid w:val="6DDE3DAF"/>
    <w:rsid w:val="6E2D3C2C"/>
    <w:rsid w:val="6E3241BE"/>
    <w:rsid w:val="6E471E78"/>
    <w:rsid w:val="6E9B4501"/>
    <w:rsid w:val="6EB97A9D"/>
    <w:rsid w:val="6EF10A90"/>
    <w:rsid w:val="6F142C9C"/>
    <w:rsid w:val="6FEE03BF"/>
    <w:rsid w:val="6FFF1868"/>
    <w:rsid w:val="705C7553"/>
    <w:rsid w:val="705D0266"/>
    <w:rsid w:val="71097A78"/>
    <w:rsid w:val="715F4C2D"/>
    <w:rsid w:val="722F78FB"/>
    <w:rsid w:val="723D67C5"/>
    <w:rsid w:val="72BF60CA"/>
    <w:rsid w:val="72F41282"/>
    <w:rsid w:val="73294AA2"/>
    <w:rsid w:val="733D0D32"/>
    <w:rsid w:val="73D411F1"/>
    <w:rsid w:val="73EB48C0"/>
    <w:rsid w:val="74B158A8"/>
    <w:rsid w:val="753811DE"/>
    <w:rsid w:val="75642DB6"/>
    <w:rsid w:val="757733D9"/>
    <w:rsid w:val="75BE67D4"/>
    <w:rsid w:val="75C2004C"/>
    <w:rsid w:val="75C759C1"/>
    <w:rsid w:val="75E80EC2"/>
    <w:rsid w:val="762545A1"/>
    <w:rsid w:val="762D64F3"/>
    <w:rsid w:val="767E7EFF"/>
    <w:rsid w:val="76A033A2"/>
    <w:rsid w:val="775B4604"/>
    <w:rsid w:val="77C067C3"/>
    <w:rsid w:val="780A3405"/>
    <w:rsid w:val="78911E31"/>
    <w:rsid w:val="791C37C3"/>
    <w:rsid w:val="7922350F"/>
    <w:rsid w:val="792B5470"/>
    <w:rsid w:val="794C6650"/>
    <w:rsid w:val="79C637D8"/>
    <w:rsid w:val="7A9367CB"/>
    <w:rsid w:val="7ABD2EEB"/>
    <w:rsid w:val="7AF22571"/>
    <w:rsid w:val="7B69224B"/>
    <w:rsid w:val="7BE80F25"/>
    <w:rsid w:val="7C1C35A7"/>
    <w:rsid w:val="7C1F78A6"/>
    <w:rsid w:val="7C2A7BDA"/>
    <w:rsid w:val="7C45431D"/>
    <w:rsid w:val="7CDE5B8C"/>
    <w:rsid w:val="7D3219D5"/>
    <w:rsid w:val="7D4B6690"/>
    <w:rsid w:val="7DDD0501"/>
    <w:rsid w:val="7DE51372"/>
    <w:rsid w:val="7E146BDA"/>
    <w:rsid w:val="7E5E590F"/>
    <w:rsid w:val="7E935AFB"/>
    <w:rsid w:val="7F830BA7"/>
    <w:rsid w:val="7FB04650"/>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4"/>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styleId="21">
    <w:name w:val="annotation reference"/>
    <w:unhideWhenUsed/>
    <w:qFormat/>
    <w:uiPriority w:val="99"/>
    <w:rPr>
      <w:sz w:val="18"/>
      <w:szCs w:val="18"/>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3"/>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8"/>
    <w:qFormat/>
    <w:uiPriority w:val="0"/>
  </w:style>
  <w:style w:type="character" w:customStyle="1" w:styleId="55">
    <w:name w:val="eop"/>
    <w:basedOn w:val="18"/>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2024-02-19T10:04:30Z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8C786118F810455FA066C923F3C231AE</vt:lpwstr>
  </property>
</Properties>
</file>